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32"/>
          <w:szCs w:val="32"/>
          <w:shd w:fill="FFFFFF" w:val="clear"/>
        </w:rPr>
        <w:t>ГОЛОВНЕ УПРАВЛІННЯ ДЕРЖПРОДСПОЖИВСЛУЖБИ В ЗАПОРІЗЬКІЙ ОБЛАСТІ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(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69036 м. Запоріжжя, проспект Маяковського, буд 20А)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i/>
          <w:i/>
          <w:iCs/>
          <w:color w:val="333333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Телефон сектору контролю за рекламою, дотриманням антитютюнового законодавства та пробірного контролю Головного управління Держпродспоживслужби в Запорізькій області: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333333"/>
          <w:sz w:val="28"/>
          <w:szCs w:val="28"/>
          <w:u w:val="single"/>
          <w:shd w:fill="FFFFFF" w:val="clear"/>
        </w:rPr>
        <w:t>(061) 239-73-27</w:t>
      </w:r>
    </w:p>
    <w:p>
      <w:pPr>
        <w:pStyle w:val="Normal"/>
        <w:spacing w:lineRule="atLeast" w:line="240" w:before="0" w:after="0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en-US"/>
        </w:rPr>
        <w:t>e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ru-RU"/>
        </w:rPr>
        <w:t>-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en-US"/>
        </w:rPr>
        <w:t>mail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ru-RU"/>
        </w:rPr>
        <w:t xml:space="preserve"> </w:t>
      </w:r>
      <w:hyperlink r:id="rId2"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office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ru-RU"/>
          </w:rPr>
          <w:t>@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gudpss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ru-RU"/>
          </w:rPr>
          <w:t>-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zp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ru-RU"/>
          </w:rPr>
          <w:t>.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gov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ru-RU"/>
          </w:rPr>
          <w:t>.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ua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; </w:t>
      </w:r>
      <w:hyperlink r:id="rId3"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ru-RU"/>
          </w:rPr>
          <w:t>.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gudpss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ru-RU"/>
          </w:rPr>
          <w:t>-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zp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ru-RU"/>
          </w:rPr>
          <w:t>.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gov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ru-RU"/>
          </w:rPr>
          <w:t>.</w:t>
        </w:r>
        <w:r>
          <w:rPr>
            <w:rStyle w:val="Hyper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ua</w:t>
        </w:r>
      </w:hyperlink>
    </w:p>
    <w:p>
      <w:pPr>
        <w:pStyle w:val="IntenseQuote"/>
        <w:rPr>
          <w:rFonts w:ascii="Times New Roman" w:hAnsi="Times New Roman" w:cs="Times New Roman"/>
          <w:b/>
          <w:bCs/>
          <w:color w:themeColor="text1"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themeColor="text1" w:val="000000"/>
          <w:sz w:val="32"/>
          <w:szCs w:val="32"/>
        </w:rPr>
        <w:t>ПАМ</w:t>
      </w:r>
      <w:r>
        <w:rPr>
          <w:rFonts w:cs="Times New Roman" w:ascii="Times New Roman" w:hAnsi="Times New Roman"/>
          <w:b/>
          <w:bCs/>
          <w:color w:themeColor="text1" w:val="000000"/>
          <w:sz w:val="32"/>
          <w:szCs w:val="32"/>
          <w:lang w:val="ru-RU"/>
        </w:rPr>
        <w:t>’ЯТКА ПРО ДОТРИМАННЯ ВИМОГ ЗАКОНОДАВСТВА</w:t>
      </w:r>
      <w:r>
        <w:rPr>
          <w:rFonts w:cs="Times New Roman" w:ascii="Times New Roman" w:hAnsi="Times New Roman"/>
          <w:b/>
          <w:bCs/>
          <w:color w:themeColor="text1"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color w:themeColor="text1" w:val="000000"/>
          <w:sz w:val="32"/>
          <w:szCs w:val="32"/>
          <w:lang w:val="ru-RU"/>
        </w:rPr>
        <w:t>ПРО</w:t>
      </w:r>
      <w:r>
        <w:rPr>
          <w:rFonts w:cs="Times New Roman" w:ascii="Times New Roman" w:hAnsi="Times New Roman"/>
          <w:b/>
          <w:bCs/>
          <w:color w:themeColor="text1"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color w:themeColor="text1" w:val="000000"/>
          <w:sz w:val="32"/>
          <w:szCs w:val="32"/>
          <w:lang w:val="ru-RU"/>
        </w:rPr>
        <w:t>РЕКЛАМУ</w:t>
      </w:r>
      <w:r>
        <w:rPr>
          <w:rFonts w:cs="Times New Roman" w:ascii="Times New Roman" w:hAnsi="Times New Roman"/>
          <w:b/>
          <w:bCs/>
          <w:color w:themeColor="text1" w:val="000000"/>
          <w:sz w:val="32"/>
          <w:szCs w:val="32"/>
        </w:rPr>
        <w:t xml:space="preserve"> НА ТЕРИТОРІЇ ЗАПОРІЗЬКОЇ ОБЛАСТІ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результатами поточного контролю дотримання вимог законодавства щодо розповсюдження реклами та рекламних засобів, спеціалістами сектору контролю реклами, дотримання антитютюнового законодавства та пробірного контролю за регульованими цінами Головного управління Держпродспоживслужби в Запорізькій області встановлено перелік найбільш розповсюджених порушень норм законодавства про рекламу.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Згідно до п. 1 ст.27 Закону України «Про рекламу»,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особи, винні у порушенні законодавства про рекламу, несуть дисциплінарну, цивільно-правову, адміністративну та кримінальну відповідальність відповідно до закону.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 метою попередження порушень законодавства «Про рекламу» у майбутньому, забезпечення обізнаності суб’єктів господарювання та уникнення застосування до них вищезазначених санкцій, просимо, першочергово, звернути увагу та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у разі виявлення, усунути в найкоротші терміни наступні порушення***: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7"/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1"/>
        <w:gridCol w:w="9397"/>
      </w:tblGrid>
      <w:tr>
        <w:trPr/>
        <w:tc>
          <w:tcPr>
            <w:tcW w:w="1119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Закону України Про рекламу</w:t>
            </w:r>
          </w:p>
        </w:tc>
      </w:tr>
      <w:tr>
        <w:trPr/>
        <w:tc>
          <w:tcPr>
            <w:tcW w:w="1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single"/>
                <w:lang w:val="uk-UA" w:eastAsia="en-US" w:bidi="ar-SA"/>
              </w:rPr>
              <w:t>Мова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Ст. 6</w:t>
            </w:r>
          </w:p>
        </w:tc>
        <w:tc>
          <w:tcPr>
            <w:tcW w:w="93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Мовою реклами є державна мова.</w:t>
            </w:r>
          </w:p>
        </w:tc>
      </w:tr>
      <w:tr>
        <w:trPr/>
        <w:tc>
          <w:tcPr>
            <w:tcW w:w="1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single"/>
                <w:lang w:val="uk-UA" w:eastAsia="en-US" w:bidi="ar-SA"/>
              </w:rPr>
              <w:t>Загальні вимоги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Ст. 8</w:t>
            </w:r>
          </w:p>
        </w:tc>
        <w:tc>
          <w:tcPr>
            <w:tcW w:w="9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Забороняється: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наводити твердження та/або зображення, які є дискримінаційними;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використовувати засоби і технології, які справляють вплив на підсвідомість споживачів реклами;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наводити твердження, дискримінаційні стосовно осіб, які не користуються рекламованим товаром;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рекламувати товари, у разі відсутності у виробника чи особи, що реалізує товари, відповідного сертифіката, дозволу, ліцензії на товар;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використовувати зображення або ім’я фізичної особи без її згоди, наданої в письмовій (електронній) формі;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імітувати або копіювати текст, зображення, музичні чи звукові ефекти, що використовуються в рекламі інших товарів, якщо інше не передбачено законами України у сфері інтелектуальної власності;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розповсюджувати рекламу (включаючи анонси кіно- і телефільмів), що містить елементи жорстокості, насильства, порнографії тощо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рекламувати послуги з ворожіння та гадання;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lang w:val="uk-UA" w:eastAsia="en-US" w:bidi="ar-SA"/>
              </w:rPr>
              <w:t>наводити твердження та/або зображення щодо інтелектуальної, фізичної, соціальної чи іншої переваги однієї статі над іншою та/або щодо стереотипних ролей чоловіка та жінки.</w:t>
            </w:r>
          </w:p>
        </w:tc>
      </w:tr>
      <w:tr>
        <w:trPr/>
        <w:tc>
          <w:tcPr>
            <w:tcW w:w="1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single"/>
                <w:lang w:val="uk-UA" w:eastAsia="en-US" w:bidi="ar-SA"/>
              </w:rPr>
              <w:t>Законність розміщення зовнішньої реклами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Ст. 16</w:t>
            </w:r>
          </w:p>
        </w:tc>
        <w:tc>
          <w:tcPr>
            <w:tcW w:w="939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Розміщення зовнішньої реклами у населених пунктах проводиться на підставі дозволів, що надаються виконавчими органами сільських, селищних, міських рад, а поза межами населених пунктів - на підставі дозволів, що надаються обласними державними адміністраціями, а на території Автономної Республіки Крим - Радою міністрів Автономної Республіки Крим, в порядку, встановленому цими органами на підставі </w:t>
            </w:r>
            <w:hyperlink r:id="rId4" w:anchor="n17" w:tgtFrame="_blank">
              <w:r>
                <w:rPr>
                  <w:rStyle w:val="Hyperlink"/>
                  <w:rFonts w:eastAsia="Calibri" w:cs="Times New Roman" w:ascii="Times New Roman" w:hAnsi="Times New Roman"/>
                  <w:i/>
                  <w:iCs/>
                  <w:color w:val="000099"/>
                  <w:kern w:val="0"/>
                  <w:sz w:val="22"/>
                  <w:szCs w:val="22"/>
                  <w:u w:val="none"/>
                  <w:shd w:fill="FFFFFF" w:val="clear"/>
                  <w:lang w:val="uk-UA" w:eastAsia="en-US" w:bidi="ar-SA"/>
                </w:rPr>
                <w:t>типових правил</w:t>
              </w:r>
            </w:hyperlink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, що затверджуються Кабінетом Міністрів України.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1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Рекламування лікарських засобів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Ст. 20</w:t>
            </w:r>
          </w:p>
        </w:tc>
        <w:tc>
          <w:tcPr>
            <w:tcW w:w="939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  <w:color w:val="333333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Реклама лікарських засобів, медичних виробів, методів профілактики, діагностики, лікування і реабілітації повинна містити текст попередження такого змісту: "Самолікування може бути шкідливим для вашого здоров’я", що займає не менше 15 відсотків площі (тривалості) всієї реклами;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  <w:color w:val="333333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У рекламі лікарських засобів, медичних виробів та методів профілактики, діагностики, лікування і реабілітації забороняється розміщення зображень і згадок імен популярних людей, героїв кіно-, теле- та анімаційних фільмів, авторитетних організацій;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  <w:color w:val="333333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У рекламі лікарських засобів, медичних виробів та методів профілактики, діагностики, лікування і реабілітації забороняється участь лікарів та інших професійних медичних працівників, а також осіб, зовнішній вигляд яких імітує зовнішній вигляд лікарів.</w:t>
            </w:r>
          </w:p>
        </w:tc>
      </w:tr>
      <w:tr>
        <w:trPr/>
        <w:tc>
          <w:tcPr>
            <w:tcW w:w="1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u w:val="single"/>
                <w:lang w:val="uk-UA" w:eastAsia="en-US" w:bidi="ar-SA"/>
              </w:rPr>
              <w:t>Реклама алкоголю та тютюну, азартних ігор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Ст. 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Ст. 22-1</w:t>
            </w:r>
          </w:p>
        </w:tc>
        <w:tc>
          <w:tcPr>
            <w:tcW w:w="939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  <w:color w:val="333333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Забороняється реклама алкогольних напоїв, торговельних марок, інших об’єктів права інтелектуальної власності, під якими випускаються алкогольні напої, та заборона реклами тютюнових виробів, предметів, пов’язаних з їх вживанням, трав’яних виробів для куріння, електронних сигарет, заправних контейнерів, рідин, що використовуються в електронних сигаретах, пристроїв для споживання тютюнових виробів без їх згоряння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  <w:color w:val="333333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Реклама азартних ігор, реклама торговельних марок, інших об’єктів права; інтелектуальної власності, під якими провадиться діяльність з організації та проведення азартних ігор, а також інших позначень, під якими проводяться азартні ігри, забороняється засобами зовнішньої реклами.</w:t>
            </w:r>
          </w:p>
        </w:tc>
      </w:tr>
      <w:tr>
        <w:trPr>
          <w:trHeight w:val="2211" w:hRule="atLeast"/>
        </w:trPr>
        <w:tc>
          <w:tcPr>
            <w:tcW w:w="18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Реклама зброї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Ст. 21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Ст. 23</w:t>
            </w:r>
          </w:p>
        </w:tc>
        <w:tc>
          <w:tcPr>
            <w:tcW w:w="939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 xml:space="preserve">Забороняється реклама </w:t>
            </w: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з використанням зображень (включно з графічними) застосування справжньої або іграшкової вогнепальної зброї, вибухових пристроїв, крім соціальної реклами, яка охоплює суспільно корисну інформацію, спрямовану на профілактику правопорушень, забезпечення державного суверенітету, безпеки та оборони, популяризацію патріотичного виховання;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333333"/>
                <w:kern w:val="0"/>
                <w:sz w:val="22"/>
                <w:szCs w:val="22"/>
                <w:shd w:fill="FFFFFF" w:val="clear"/>
                <w:lang w:val="uk-UA" w:eastAsia="en-US" w:bidi="ar-SA"/>
              </w:rPr>
              <w:t>Реклама зброї може здійснюватися тільки у відповідних спеціалізованих виданнях щодо зброї, або безпосередньо у приміщеннях торговельних закладів (підприємств), які реалізують зброю, або на відповідних виставках (заходах).</w:t>
            </w:r>
          </w:p>
        </w:tc>
      </w:tr>
    </w:tbl>
    <w:p>
      <w:pPr>
        <w:pStyle w:val="Normal"/>
        <w:spacing w:before="0" w:after="160"/>
        <w:ind w:left="-993"/>
        <w:rPr>
          <w:rFonts w:ascii="Times New Roman" w:hAnsi="Times New Roman" w:cs="Times New Roman"/>
          <w:b/>
          <w:bCs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u w:val="single"/>
        </w:rPr>
        <w:t>*** Вищезазначений перелік не є вичерпним та включає в себе найбільш розповсюджені порушення законодавства, виявлені в Запорізькій області за період 2022-2023 рр.</w:t>
      </w:r>
    </w:p>
    <w:sectPr>
      <w:type w:val="nextPage"/>
      <w:pgSz w:w="11906" w:h="16838"/>
      <w:pgMar w:left="1417" w:right="619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u w:val="none"/>
        <w:rFonts w:eastAsiaTheme="minorHAnsi"/>
        <w:color w:val="33333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rFonts w:eastAsiaTheme="minorHAnsi"/>
        <w:color w:val="33333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Heading1">
    <w:name w:val="Heading 1"/>
    <w:basedOn w:val="Normal"/>
    <w:link w:val="1"/>
    <w:uiPriority w:val="9"/>
    <w:qFormat/>
    <w:rsid w:val="00e9412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e94128"/>
    <w:rPr>
      <w:rFonts w:ascii="Times New Roman" w:hAnsi="Times New Roman" w:eastAsia="Times New Roman" w:cs="Times New Roman"/>
      <w:b/>
      <w:bCs/>
      <w:kern w:val="2"/>
      <w:sz w:val="48"/>
      <w:szCs w:val="48"/>
      <w:lang w:eastAsia="uk-UA"/>
    </w:rPr>
  </w:style>
  <w:style w:type="character" w:styleId="Hyperlink">
    <w:name w:val="Hyperlink"/>
    <w:basedOn w:val="DefaultParagraphFont"/>
    <w:uiPriority w:val="99"/>
    <w:unhideWhenUsed/>
    <w:rsid w:val="00e94128"/>
    <w:rPr>
      <w:color w:val="0000FF"/>
      <w:u w:val="single"/>
    </w:rPr>
  </w:style>
  <w:style w:type="character" w:styleId="Style13" w:customStyle="1">
    <w:name w:val="Текст сноски Знак"/>
    <w:basedOn w:val="DefaultParagraphFont"/>
    <w:uiPriority w:val="99"/>
    <w:qFormat/>
    <w:rsid w:val="003554fe"/>
    <w:rPr>
      <w:rFonts w:eastAsia="" w:cs="Times New Roman" w:eastAsiaTheme="minorEastAsia"/>
      <w:sz w:val="20"/>
      <w:szCs w:val="20"/>
      <w:lang w:eastAsia="uk-UA"/>
    </w:rPr>
  </w:style>
  <w:style w:type="character" w:styleId="SubtleEmphasis">
    <w:name w:val="Subtle Emphasis"/>
    <w:basedOn w:val="DefaultParagraphFont"/>
    <w:uiPriority w:val="19"/>
    <w:qFormat/>
    <w:rsid w:val="003554fe"/>
    <w:rPr>
      <w:i/>
      <w:iCs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sid w:val="001d23f2"/>
    <w:rPr>
      <w:i/>
      <w:iCs/>
      <w:color w:themeColor="accent1" w:val="4472C4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Rvps2" w:customStyle="1">
    <w:name w:val="rvps2"/>
    <w:basedOn w:val="Normal"/>
    <w:qFormat/>
    <w:rsid w:val="00406b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DecimalAligned" w:customStyle="1">
    <w:name w:val="Decimal Aligned"/>
    <w:basedOn w:val="Normal"/>
    <w:uiPriority w:val="40"/>
    <w:qFormat/>
    <w:rsid w:val="003554fe"/>
    <w:pPr>
      <w:tabs>
        <w:tab w:val="clear" w:pos="708"/>
        <w:tab w:val="decimal" w:pos="360" w:leader="none"/>
      </w:tabs>
      <w:spacing w:lineRule="auto" w:line="276" w:before="0" w:after="200"/>
    </w:pPr>
    <w:rPr>
      <w:rFonts w:eastAsia="" w:cs="Times New Roman" w:eastAsiaTheme="minorEastAsia"/>
      <w:lang w:eastAsia="uk-UA"/>
    </w:rPr>
  </w:style>
  <w:style w:type="paragraph" w:styleId="FootnoteText">
    <w:name w:val="Footnote Text"/>
    <w:basedOn w:val="Normal"/>
    <w:link w:val="Style13"/>
    <w:uiPriority w:val="99"/>
    <w:unhideWhenUsed/>
    <w:rsid w:val="003554fe"/>
    <w:pPr>
      <w:spacing w:lineRule="auto" w:line="240" w:before="0" w:after="0"/>
    </w:pPr>
    <w:rPr>
      <w:rFonts w:eastAsia="" w:cs="Times New Roman" w:eastAsiaTheme="minorEastAsia"/>
      <w:sz w:val="20"/>
      <w:szCs w:val="20"/>
      <w:lang w:eastAsia="uk-UA"/>
    </w:rPr>
  </w:style>
  <w:style w:type="paragraph" w:styleId="ListParagraph">
    <w:name w:val="List Paragraph"/>
    <w:basedOn w:val="Normal"/>
    <w:uiPriority w:val="34"/>
    <w:qFormat/>
    <w:rsid w:val="006254a6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Style14"/>
    <w:uiPriority w:val="30"/>
    <w:qFormat/>
    <w:rsid w:val="001d23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themeColor="accent1" w:val="4472C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3554fe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/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39"/>
    <w:rsid w:val="008f73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gudpss-zp.gov.ua" TargetMode="External"/><Relationship Id="rId3" Type="http://schemas.openxmlformats.org/officeDocument/2006/relationships/hyperlink" Target="http://www.gudpss-zp.gov.ua/" TargetMode="External"/><Relationship Id="rId4" Type="http://schemas.openxmlformats.org/officeDocument/2006/relationships/hyperlink" Target="https://zakon.rada.gov.ua/laws/show/2067-2003-&#1087;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LibreOffice/7.6.0.3$Windows_X86_64 LibreOffice_project/69edd8b8ebc41d00b4de3915dc82f8f0fc3b6265</Application>
  <AppVersion>15.0000</AppVersion>
  <Pages>2</Pages>
  <Words>655</Words>
  <Characters>4699</Characters>
  <CharactersWithSpaces>5294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2023-12-13T14:11:00Z</dcterms:created>
  <dc:creator>Дмитрий Данилейко</dc:creator>
  <dc:description/>
  <dc:language>uk-UA</dc:language>
  <cp:lastModifiedBy/>
  <cp:lastPrinted>2023-12-14T11:55:00Z</cp:lastPrinted>
  <dcterms:modified xsi:type="dcterms:W3CDTF">2024-01-30T09:44:37Z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