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AA" w:rsidRPr="00B209AA" w:rsidRDefault="00B209AA" w:rsidP="00B209AA">
      <w:pPr>
        <w:spacing w:after="0" w:line="240" w:lineRule="auto"/>
        <w:outlineLvl w:val="0"/>
        <w:rPr>
          <w:rFonts w:ascii="Ubuntu" w:eastAsia="Times New Roman" w:hAnsi="Ubuntu" w:cs="Times New Roman"/>
          <w:b/>
          <w:bCs/>
          <w:color w:val="2B4261"/>
          <w:kern w:val="36"/>
          <w:sz w:val="53"/>
          <w:szCs w:val="53"/>
          <w:lang w:eastAsia="uk-UA"/>
        </w:rPr>
      </w:pPr>
      <w:r w:rsidRPr="00B209AA">
        <w:rPr>
          <w:rFonts w:ascii="Ubuntu" w:eastAsia="Times New Roman" w:hAnsi="Ubuntu" w:cs="Times New Roman"/>
          <w:b/>
          <w:bCs/>
          <w:color w:val="2B4261"/>
          <w:kern w:val="36"/>
          <w:sz w:val="53"/>
          <w:szCs w:val="53"/>
          <w:lang w:eastAsia="uk-UA"/>
        </w:rPr>
        <w:t>Щодо правового статусу викривача у провадженні про адміністративні правопорушення, пов’язані з корупцією</w:t>
      </w:r>
    </w:p>
    <w:p w:rsidR="00B209AA" w:rsidRPr="00B209AA" w:rsidRDefault="00B209AA" w:rsidP="00B209AA">
      <w:pPr>
        <w:spacing w:after="0" w:line="240" w:lineRule="auto"/>
        <w:outlineLvl w:val="1"/>
        <w:rPr>
          <w:rFonts w:ascii="Ubuntu" w:eastAsia="Times New Roman" w:hAnsi="Ubuntu" w:cs="Times New Roman"/>
          <w:color w:val="1A1A22"/>
          <w:sz w:val="36"/>
          <w:szCs w:val="36"/>
          <w:lang w:eastAsia="uk-UA"/>
        </w:rPr>
      </w:pPr>
      <w:r w:rsidRPr="00B209AA">
        <w:rPr>
          <w:rFonts w:ascii="Ubuntu" w:eastAsia="Times New Roman" w:hAnsi="Ubuntu" w:cs="Times New Roman"/>
          <w:color w:val="1A1A22"/>
          <w:sz w:val="36"/>
          <w:szCs w:val="36"/>
          <w:lang w:eastAsia="uk-UA"/>
        </w:rPr>
        <w:t>1. Поняття викривача у справі про адміністративне правопорушення та його ознаки</w:t>
      </w:r>
    </w:p>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bookmarkStart w:id="0" w:name="_GoBack"/>
      <w:bookmarkEnd w:id="0"/>
      <w:r w:rsidRPr="00B209AA">
        <w:rPr>
          <w:rFonts w:ascii="Ubuntu" w:eastAsia="Times New Roman" w:hAnsi="Ubuntu" w:cs="Times New Roman"/>
          <w:color w:val="1A1A22"/>
          <w:sz w:val="27"/>
          <w:szCs w:val="27"/>
          <w:lang w:eastAsia="uk-UA"/>
        </w:rPr>
        <w:t>Згідно з приміткою до ст. 172</w:t>
      </w:r>
      <w:r w:rsidRPr="00B209AA">
        <w:rPr>
          <w:rFonts w:ascii="Ubuntu" w:eastAsia="Times New Roman" w:hAnsi="Ubuntu" w:cs="Times New Roman"/>
          <w:color w:val="1A1A22"/>
          <w:sz w:val="27"/>
          <w:szCs w:val="27"/>
          <w:vertAlign w:val="superscript"/>
          <w:lang w:eastAsia="uk-UA"/>
        </w:rPr>
        <w:t>8</w:t>
      </w:r>
      <w:r w:rsidRPr="00B209AA">
        <w:rPr>
          <w:rFonts w:ascii="Ubuntu" w:eastAsia="Times New Roman" w:hAnsi="Ubuntu" w:cs="Times New Roman"/>
          <w:color w:val="1A1A22"/>
          <w:sz w:val="27"/>
          <w:szCs w:val="27"/>
          <w:lang w:eastAsia="uk-UA"/>
        </w:rPr>
        <w:t xml:space="preserve"> КУпАП викривачем визнається особа, зазначена у ст. 1 Закону. Відповідно до </w:t>
      </w:r>
      <w:proofErr w:type="spellStart"/>
      <w:r w:rsidRPr="00B209AA">
        <w:rPr>
          <w:rFonts w:ascii="Ubuntu" w:eastAsia="Times New Roman" w:hAnsi="Ubuntu" w:cs="Times New Roman"/>
          <w:color w:val="1A1A22"/>
          <w:sz w:val="27"/>
          <w:szCs w:val="27"/>
          <w:lang w:eastAsia="uk-UA"/>
        </w:rPr>
        <w:t>абз</w:t>
      </w:r>
      <w:proofErr w:type="spellEnd"/>
      <w:r w:rsidRPr="00B209AA">
        <w:rPr>
          <w:rFonts w:ascii="Ubuntu" w:eastAsia="Times New Roman" w:hAnsi="Ubuntu" w:cs="Times New Roman"/>
          <w:color w:val="1A1A22"/>
          <w:sz w:val="27"/>
          <w:szCs w:val="27"/>
          <w:lang w:eastAsia="uk-UA"/>
        </w:rPr>
        <w:t>. 20 ч. 1 ст. 1 Закону викривачем у справі про адміністративне правопорушення, пов’язане з корупцією, є фізична особа, яка за наявності переконання, що інформація є достовірною, повідомила про можливі факти пов’язаних з корупцією правопорушень,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r w:rsidRPr="00B209AA">
        <w:rPr>
          <w:rFonts w:ascii="Ubuntu" w:eastAsia="Times New Roman" w:hAnsi="Ubuntu" w:cs="Times New Roman"/>
          <w:i/>
          <w:iCs/>
          <w:color w:val="1A1A22"/>
          <w:sz w:val="27"/>
          <w:szCs w:val="27"/>
          <w:lang w:eastAsia="uk-UA"/>
        </w:rPr>
        <w:t>Наявність у викривача внутрішнього переконання, що інформація є достовірною</w:t>
      </w:r>
      <w:r w:rsidRPr="00B209AA">
        <w:rPr>
          <w:rFonts w:ascii="Ubuntu" w:eastAsia="Times New Roman" w:hAnsi="Ubuntu" w:cs="Times New Roman"/>
          <w:color w:val="1A1A22"/>
          <w:sz w:val="27"/>
          <w:szCs w:val="27"/>
          <w:lang w:eastAsia="uk-UA"/>
        </w:rPr>
        <w:t>, – це стан упевненості особи в тому, що інформація, яку вона повідомляє, є вірогідною та свідчить про можливі факти вчинення адміністративного правопорушення, пов’язаного з корупцією, і цей стан ґрунтується на її обізнаності щодо ознак адміністративного правопорушення, життєвому чи професійному досвіді або інших обставинах.</w:t>
      </w:r>
    </w:p>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r w:rsidRPr="00B209AA">
        <w:rPr>
          <w:rFonts w:ascii="Ubuntu" w:eastAsia="Times New Roman" w:hAnsi="Ubuntu" w:cs="Times New Roman"/>
          <w:i/>
          <w:iCs/>
          <w:color w:val="1A1A22"/>
          <w:sz w:val="27"/>
          <w:szCs w:val="27"/>
          <w:lang w:eastAsia="uk-UA"/>
        </w:rPr>
        <w:t>Достовірність інформації</w:t>
      </w:r>
      <w:r w:rsidRPr="00B209AA">
        <w:rPr>
          <w:rFonts w:ascii="Ubuntu" w:eastAsia="Times New Roman" w:hAnsi="Ubuntu" w:cs="Times New Roman"/>
          <w:color w:val="1A1A22"/>
          <w:sz w:val="27"/>
          <w:szCs w:val="27"/>
          <w:lang w:eastAsia="uk-UA"/>
        </w:rPr>
        <w:t> – її властивість підтверджувати наявність чи відсутність фактичних даних про можливі факти правопорушення, пов’язаного з корупцією, заснована на внутрішньому переконанні викривача.</w:t>
      </w:r>
    </w:p>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Викривачем, який здійснив повідомлення у справах про адміністративні правопорушення, вважається особа, яка повідомила, зокрема, про такі адміністративні правопорушення:</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обмежень щодо сумісництва та суміщення з іншими видами діяльності (ст. 172</w:t>
      </w:r>
      <w:r w:rsidRPr="00B209AA">
        <w:rPr>
          <w:rFonts w:ascii="Ubuntu" w:eastAsia="Times New Roman" w:hAnsi="Ubuntu" w:cs="Times New Roman"/>
          <w:color w:val="1A1A22"/>
          <w:sz w:val="27"/>
          <w:szCs w:val="27"/>
          <w:vertAlign w:val="superscript"/>
          <w:lang w:eastAsia="uk-UA"/>
        </w:rPr>
        <w:t>4</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встановлених законом обмежень щодо одержання подарунків (ст. 172</w:t>
      </w:r>
      <w:r w:rsidRPr="00B209AA">
        <w:rPr>
          <w:rFonts w:ascii="Ubuntu" w:eastAsia="Times New Roman" w:hAnsi="Ubuntu" w:cs="Times New Roman"/>
          <w:color w:val="1A1A22"/>
          <w:sz w:val="27"/>
          <w:szCs w:val="27"/>
          <w:vertAlign w:val="superscript"/>
          <w:lang w:eastAsia="uk-UA"/>
        </w:rPr>
        <w:t>5</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вимог фінансового контролю (ст. 172</w:t>
      </w:r>
      <w:r w:rsidRPr="00B209AA">
        <w:rPr>
          <w:rFonts w:ascii="Ubuntu" w:eastAsia="Times New Roman" w:hAnsi="Ubuntu" w:cs="Times New Roman"/>
          <w:color w:val="1A1A22"/>
          <w:sz w:val="27"/>
          <w:szCs w:val="27"/>
          <w:vertAlign w:val="superscript"/>
          <w:lang w:eastAsia="uk-UA"/>
        </w:rPr>
        <w:t>6</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вимог щодо запобігання та врегулювання конфлікту інтересів (ст. 172</w:t>
      </w:r>
      <w:r w:rsidRPr="00B209AA">
        <w:rPr>
          <w:rFonts w:ascii="Ubuntu" w:eastAsia="Times New Roman" w:hAnsi="Ubuntu" w:cs="Times New Roman"/>
          <w:color w:val="1A1A22"/>
          <w:sz w:val="27"/>
          <w:szCs w:val="27"/>
          <w:vertAlign w:val="superscript"/>
          <w:lang w:eastAsia="uk-UA"/>
        </w:rPr>
        <w:t>7</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незаконне використання інформації, що стала відома особі у зв’язку з виконанням службових або інших визначених законом повноважень</w:t>
      </w:r>
      <w:r w:rsidRPr="00B209AA">
        <w:rPr>
          <w:rFonts w:ascii="Ubuntu" w:eastAsia="Times New Roman" w:hAnsi="Ubuntu" w:cs="Times New Roman"/>
          <w:color w:val="1A1A22"/>
          <w:sz w:val="27"/>
          <w:szCs w:val="27"/>
          <w:lang w:eastAsia="uk-UA"/>
        </w:rPr>
        <w:br/>
        <w:t>(ст. 172</w:t>
      </w:r>
      <w:r w:rsidRPr="00B209AA">
        <w:rPr>
          <w:rFonts w:ascii="Ubuntu" w:eastAsia="Times New Roman" w:hAnsi="Ubuntu" w:cs="Times New Roman"/>
          <w:color w:val="1A1A22"/>
          <w:sz w:val="27"/>
          <w:szCs w:val="27"/>
          <w:vertAlign w:val="superscript"/>
          <w:lang w:eastAsia="uk-UA"/>
        </w:rPr>
        <w:t>8</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 (ст. 172</w:t>
      </w:r>
      <w:r w:rsidRPr="00B209AA">
        <w:rPr>
          <w:rFonts w:ascii="Ubuntu" w:eastAsia="Times New Roman" w:hAnsi="Ubuntu" w:cs="Times New Roman"/>
          <w:color w:val="1A1A22"/>
          <w:sz w:val="27"/>
          <w:szCs w:val="27"/>
          <w:vertAlign w:val="superscript"/>
          <w:lang w:eastAsia="uk-UA"/>
        </w:rPr>
        <w:t>8-1</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невжиття заходів щодо протидії корупції (ст. 172</w:t>
      </w:r>
      <w:r w:rsidRPr="00B209AA">
        <w:rPr>
          <w:rFonts w:ascii="Ubuntu" w:eastAsia="Times New Roman" w:hAnsi="Ubuntu" w:cs="Times New Roman"/>
          <w:color w:val="1A1A22"/>
          <w:sz w:val="27"/>
          <w:szCs w:val="27"/>
          <w:vertAlign w:val="superscript"/>
          <w:lang w:eastAsia="uk-UA"/>
        </w:rPr>
        <w:t>9</w:t>
      </w:r>
      <w:r w:rsidRPr="00B209AA">
        <w:rPr>
          <w:rFonts w:ascii="Ubuntu" w:eastAsia="Times New Roman" w:hAnsi="Ubuntu" w:cs="Times New Roman"/>
          <w:color w:val="1A1A22"/>
          <w:sz w:val="27"/>
          <w:szCs w:val="27"/>
          <w:lang w:eastAsia="uk-UA"/>
        </w:rPr>
        <w:t> 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заборони розміщення ставок на спорт, пов’язаних з маніпулюванням офіційним спортивним змаганням (ст. 172</w:t>
      </w:r>
      <w:r w:rsidRPr="00B209AA">
        <w:rPr>
          <w:rFonts w:ascii="Ubuntu" w:eastAsia="Times New Roman" w:hAnsi="Ubuntu" w:cs="Times New Roman"/>
          <w:color w:val="1A1A22"/>
          <w:sz w:val="27"/>
          <w:szCs w:val="27"/>
          <w:vertAlign w:val="superscript"/>
          <w:lang w:eastAsia="uk-UA"/>
        </w:rPr>
        <w:t>9-1 </w:t>
      </w:r>
      <w:r w:rsidRPr="00B209AA">
        <w:rPr>
          <w:rFonts w:ascii="Ubuntu" w:eastAsia="Times New Roman" w:hAnsi="Ubuntu" w:cs="Times New Roman"/>
          <w:color w:val="1A1A22"/>
          <w:sz w:val="27"/>
          <w:szCs w:val="27"/>
          <w:lang w:eastAsia="uk-UA"/>
        </w:rPr>
        <w:t>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порушення законодавства у сфері оцінки впливу на довкілля</w:t>
      </w:r>
      <w:r w:rsidRPr="00B209AA">
        <w:rPr>
          <w:rFonts w:ascii="Ubuntu" w:eastAsia="Times New Roman" w:hAnsi="Ubuntu" w:cs="Times New Roman"/>
          <w:color w:val="1A1A22"/>
          <w:sz w:val="27"/>
          <w:szCs w:val="27"/>
          <w:lang w:eastAsia="uk-UA"/>
        </w:rPr>
        <w:br/>
        <w:t>(ст. 172</w:t>
      </w:r>
      <w:r w:rsidRPr="00B209AA">
        <w:rPr>
          <w:rFonts w:ascii="Ubuntu" w:eastAsia="Times New Roman" w:hAnsi="Ubuntu" w:cs="Times New Roman"/>
          <w:color w:val="1A1A22"/>
          <w:sz w:val="27"/>
          <w:szCs w:val="27"/>
          <w:vertAlign w:val="superscript"/>
          <w:lang w:eastAsia="uk-UA"/>
        </w:rPr>
        <w:t>9-2 </w:t>
      </w:r>
      <w:r w:rsidRPr="00B209AA">
        <w:rPr>
          <w:rFonts w:ascii="Ubuntu" w:eastAsia="Times New Roman" w:hAnsi="Ubuntu" w:cs="Times New Roman"/>
          <w:color w:val="1A1A22"/>
          <w:sz w:val="27"/>
          <w:szCs w:val="27"/>
          <w:lang w:eastAsia="uk-UA"/>
        </w:rPr>
        <w:t>КУпАП);</w:t>
      </w:r>
    </w:p>
    <w:p w:rsidR="00B209AA" w:rsidRPr="00B209AA" w:rsidRDefault="00B209AA" w:rsidP="00B209AA">
      <w:pPr>
        <w:pStyle w:val="a3"/>
        <w:numPr>
          <w:ilvl w:val="0"/>
          <w:numId w:val="2"/>
        </w:numPr>
        <w:spacing w:after="0" w:line="240" w:lineRule="auto"/>
        <w:ind w:left="0" w:firstLine="349"/>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невиконання законних вимог (приписів) Національного агентства</w:t>
      </w:r>
      <w:r w:rsidRPr="00B209AA">
        <w:rPr>
          <w:rFonts w:ascii="Ubuntu" w:eastAsia="Times New Roman" w:hAnsi="Ubuntu" w:cs="Times New Roman"/>
          <w:color w:val="1A1A22"/>
          <w:sz w:val="27"/>
          <w:szCs w:val="27"/>
          <w:lang w:eastAsia="uk-UA"/>
        </w:rPr>
        <w:br/>
        <w:t>(ст. 188</w:t>
      </w:r>
      <w:r w:rsidRPr="00B209AA">
        <w:rPr>
          <w:rFonts w:ascii="Ubuntu" w:eastAsia="Times New Roman" w:hAnsi="Ubuntu" w:cs="Times New Roman"/>
          <w:color w:val="1A1A22"/>
          <w:sz w:val="27"/>
          <w:szCs w:val="27"/>
          <w:vertAlign w:val="superscript"/>
          <w:lang w:eastAsia="uk-UA"/>
        </w:rPr>
        <w:t>46</w:t>
      </w:r>
      <w:r w:rsidRPr="00B209AA">
        <w:rPr>
          <w:rFonts w:ascii="Ubuntu" w:eastAsia="Times New Roman" w:hAnsi="Ubuntu" w:cs="Times New Roman"/>
          <w:color w:val="1A1A22"/>
          <w:sz w:val="27"/>
          <w:szCs w:val="27"/>
          <w:lang w:eastAsia="uk-UA"/>
        </w:rPr>
        <w:t> КУпАП).</w:t>
      </w:r>
    </w:p>
    <w:p w:rsidR="00B209AA" w:rsidRP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lastRenderedPageBreak/>
        <w:t>Адміністративне стягнення за вчинення правопорушення, пов’язаного з корупцією, може бути накладено протягом шести місяців з дня його виявлення, але не пізніше двох років з дня його вчинення (ч. 4 ст. 38 КУпАП). У випадку повідомлення особою про ознаки адміністративного правопорушення після спливу строків притягнення до адміністративної відповідальності вона все одно набуває статусу викривача.</w:t>
      </w:r>
    </w:p>
    <w:p w:rsid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Повідомити про такі правопорушення викривач може до органів Національної поліції або до Національного агентства.</w:t>
      </w:r>
      <w:bookmarkStart w:id="1" w:name="_ftn1"/>
    </w:p>
    <w:bookmarkEnd w:id="1"/>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Більш детально правовий статус викривача та порядок розгляду його повідомлень визначено у Роз’ясненнях Національного агентства «Щодо правового статусу викривача» від 23.06.2020 № 5 та «Щодо особливостей перевірки повідомлень про можливі факти корупційних або пов’язаних з корупцією правопорушень, інших порушень Закону України «Про запобігання корупції» від 14.07.2020 № 7.</w:t>
      </w:r>
    </w:p>
    <w:p w:rsidR="00B209AA" w:rsidRPr="00B209AA" w:rsidRDefault="00B209AA" w:rsidP="00B209AA">
      <w:pPr>
        <w:spacing w:after="0" w:line="240" w:lineRule="auto"/>
        <w:outlineLvl w:val="1"/>
        <w:rPr>
          <w:rFonts w:ascii="Ubuntu" w:eastAsia="Times New Roman" w:hAnsi="Ubuntu" w:cs="Times New Roman"/>
          <w:color w:val="1A1A22"/>
          <w:sz w:val="36"/>
          <w:szCs w:val="36"/>
          <w:lang w:eastAsia="uk-UA"/>
        </w:rPr>
      </w:pPr>
      <w:r w:rsidRPr="00B209AA">
        <w:rPr>
          <w:rFonts w:ascii="Ubuntu" w:eastAsia="Times New Roman" w:hAnsi="Ubuntu" w:cs="Times New Roman"/>
          <w:color w:val="1A1A22"/>
          <w:sz w:val="36"/>
          <w:szCs w:val="36"/>
          <w:lang w:eastAsia="uk-UA"/>
        </w:rPr>
        <w:t>2. Процесуальні права та обов’язки викривача</w:t>
      </w:r>
    </w:p>
    <w:p w:rsidR="00B209AA" w:rsidRPr="00B209AA" w:rsidRDefault="00B209AA" w:rsidP="00B209AA">
      <w:pPr>
        <w:spacing w:after="0" w:line="240" w:lineRule="auto"/>
        <w:ind w:firstLine="708"/>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У справах про адміністративні правопорушення, пов’язані з корупцією, викривач за своїм процесуальним статусом є свідком (ч. 3 ст. 272 КУпАП).</w:t>
      </w:r>
    </w:p>
    <w:p w:rsidR="00B209AA" w:rsidRP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Відповідно до ст. 53</w:t>
      </w:r>
      <w:r w:rsidRPr="00B209AA">
        <w:rPr>
          <w:rFonts w:ascii="Ubuntu" w:eastAsia="Times New Roman" w:hAnsi="Ubuntu" w:cs="Times New Roman"/>
          <w:color w:val="1A1A22"/>
          <w:sz w:val="27"/>
          <w:szCs w:val="27"/>
          <w:vertAlign w:val="superscript"/>
          <w:lang w:eastAsia="uk-UA"/>
        </w:rPr>
        <w:t>3</w:t>
      </w:r>
      <w:r w:rsidRPr="00B209AA">
        <w:rPr>
          <w:rFonts w:ascii="Ubuntu" w:eastAsia="Times New Roman" w:hAnsi="Ubuntu" w:cs="Times New Roman"/>
          <w:color w:val="1A1A22"/>
          <w:sz w:val="27"/>
          <w:szCs w:val="27"/>
          <w:lang w:eastAsia="uk-UA"/>
        </w:rPr>
        <w:t> Закону та ст. 272 КУпАП під час участі у справі про адміністративне правопорушення викривач має право:</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бути повідомленим про свої права та обов’язки, передбачені законодавством;</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подавати докази на підтвердження своєї заяви (повідомлення);</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отримувати від уповноваженого органу, до якого він подав повідомлення, підтвердження його прийняття і реєстрації;</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отримувати інформацію про стан та результати розгляду та/або перевірки за фактом повідомленої ним інформації;</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отримувати детальну письмову інформацію про результати попередньої перевірки за його повідомленням про можливі факти корупційних або пов’язаних з корупцією правопорушень, інших порушень Закону у триденний строк з дня завершення відповідної перевірки;</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на звільнення від юридичної відповідальності у визначених законом випадках;</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на збереження конфіденційності інформації стосовно нього під час дачі пояснень по справі;</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на правову допомогу;</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давати пояснення рідною мовою та користуватися послугами перекладача, якщо не володіє мовою, на якій ведеться провадження;</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знати, у зв’язку з чим і в якій справі він дає свідчення;</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власноручно викладати свої показання в протоколі опитування;</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відмовитися давати показання щодо себе, членів сім’ї та близьких родичів;</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знайомитися з протоколом опитування та вносити до нього зміни;</w:t>
      </w:r>
    </w:p>
    <w:p w:rsidR="00B209AA" w:rsidRPr="00B209AA" w:rsidRDefault="00B209AA" w:rsidP="00B209AA">
      <w:pPr>
        <w:pStyle w:val="a3"/>
        <w:numPr>
          <w:ilvl w:val="0"/>
          <w:numId w:val="1"/>
        </w:numPr>
        <w:spacing w:after="0" w:line="240" w:lineRule="auto"/>
        <w:ind w:left="0" w:firstLine="360"/>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одержувати відшкодування витрат, пов’язаних із викликом для давання показань.</w:t>
      </w:r>
    </w:p>
    <w:p w:rsidR="00B209AA" w:rsidRP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Згідно зі ст. 272 КУпАП викривач як свідок у справі про адміністративне правопорушення зобов’язаний з’явитись за викликом у зазначений час, надати правдиві пояснення та відповісти на поставлені запитання.</w:t>
      </w:r>
    </w:p>
    <w:p w:rsidR="00B209AA" w:rsidRP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Окремо слід зазначити, що право викривача на конфіденційність інформації у справі про адміністративне правопорушення необхідно забезпечувати в порядку, визначеному ст. 53</w:t>
      </w:r>
      <w:r w:rsidRPr="00B209AA">
        <w:rPr>
          <w:rFonts w:ascii="Ubuntu" w:eastAsia="Times New Roman" w:hAnsi="Ubuntu" w:cs="Times New Roman"/>
          <w:color w:val="1A1A22"/>
          <w:sz w:val="27"/>
          <w:szCs w:val="27"/>
          <w:vertAlign w:val="superscript"/>
          <w:lang w:eastAsia="uk-UA"/>
        </w:rPr>
        <w:t>5</w:t>
      </w:r>
      <w:r w:rsidRPr="00B209AA">
        <w:rPr>
          <w:rFonts w:ascii="Ubuntu" w:eastAsia="Times New Roman" w:hAnsi="Ubuntu" w:cs="Times New Roman"/>
          <w:color w:val="1A1A22"/>
          <w:sz w:val="27"/>
          <w:szCs w:val="27"/>
          <w:lang w:eastAsia="uk-UA"/>
        </w:rPr>
        <w:t xml:space="preserve"> Закону. Зокрема,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Також </w:t>
      </w:r>
      <w:r w:rsidRPr="00B209AA">
        <w:rPr>
          <w:rFonts w:ascii="Ubuntu" w:eastAsia="Times New Roman" w:hAnsi="Ubuntu" w:cs="Times New Roman"/>
          <w:color w:val="1A1A22"/>
          <w:sz w:val="27"/>
          <w:szCs w:val="27"/>
          <w:lang w:eastAsia="uk-UA"/>
        </w:rPr>
        <w:lastRenderedPageBreak/>
        <w:t>конфіденційність викривача забезпечується тим, що зазначення його прізвища у протоколі про адміністративне правопорушення можливе лише за його згодою (ч. 1 ст. 256 КУпАП).</w:t>
      </w:r>
    </w:p>
    <w:p w:rsidR="00E2169B" w:rsidRPr="00B209AA" w:rsidRDefault="00B209AA" w:rsidP="00B209AA">
      <w:pPr>
        <w:spacing w:after="0" w:line="240" w:lineRule="auto"/>
        <w:jc w:val="both"/>
        <w:rPr>
          <w:rFonts w:ascii="Ubuntu" w:eastAsia="Times New Roman" w:hAnsi="Ubuntu" w:cs="Times New Roman"/>
          <w:color w:val="1A1A22"/>
          <w:sz w:val="27"/>
          <w:szCs w:val="27"/>
          <w:lang w:eastAsia="uk-UA"/>
        </w:rPr>
      </w:pPr>
      <w:r w:rsidRPr="00B209AA">
        <w:rPr>
          <w:rFonts w:ascii="Ubuntu" w:eastAsia="Times New Roman" w:hAnsi="Ubuntu" w:cs="Times New Roman"/>
          <w:color w:val="1A1A22"/>
          <w:sz w:val="27"/>
          <w:szCs w:val="27"/>
          <w:lang w:eastAsia="uk-UA"/>
        </w:rPr>
        <w:t>При цьому за незаконне розголошення або використання в інший спосіб інформації про викривача, що стала відома особі у зв’язку з виконанням службових або інших визначених законом повноважень, передбачено адміністративну відповідальність (ст. 172</w:t>
      </w:r>
      <w:r w:rsidRPr="00B209AA">
        <w:rPr>
          <w:rFonts w:ascii="Ubuntu" w:eastAsia="Times New Roman" w:hAnsi="Ubuntu" w:cs="Times New Roman"/>
          <w:color w:val="1A1A22"/>
          <w:sz w:val="27"/>
          <w:szCs w:val="27"/>
          <w:vertAlign w:val="superscript"/>
          <w:lang w:eastAsia="uk-UA"/>
        </w:rPr>
        <w:t>8</w:t>
      </w:r>
      <w:r w:rsidRPr="00B209AA">
        <w:rPr>
          <w:rFonts w:ascii="Ubuntu" w:eastAsia="Times New Roman" w:hAnsi="Ubuntu" w:cs="Times New Roman"/>
          <w:color w:val="1A1A22"/>
          <w:sz w:val="27"/>
          <w:szCs w:val="27"/>
          <w:lang w:eastAsia="uk-UA"/>
        </w:rPr>
        <w:t> КУпАП).</w:t>
      </w:r>
    </w:p>
    <w:sectPr w:rsidR="00E2169B" w:rsidRPr="00B209AA" w:rsidSect="00B20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549A2"/>
    <w:multiLevelType w:val="hybridMultilevel"/>
    <w:tmpl w:val="324ABDDA"/>
    <w:lvl w:ilvl="0" w:tplc="1940F8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6B3C74"/>
    <w:multiLevelType w:val="hybridMultilevel"/>
    <w:tmpl w:val="BA6C5008"/>
    <w:lvl w:ilvl="0" w:tplc="1940F8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A"/>
    <w:rsid w:val="00532655"/>
    <w:rsid w:val="009A4B59"/>
    <w:rsid w:val="00B20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0505"/>
  <w15:chartTrackingRefBased/>
  <w15:docId w15:val="{2D21CA6B-223F-44FA-9A1B-8C790299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3426">
      <w:bodyDiv w:val="1"/>
      <w:marLeft w:val="0"/>
      <w:marRight w:val="0"/>
      <w:marTop w:val="0"/>
      <w:marBottom w:val="0"/>
      <w:divBdr>
        <w:top w:val="none" w:sz="0" w:space="0" w:color="auto"/>
        <w:left w:val="none" w:sz="0" w:space="0" w:color="auto"/>
        <w:bottom w:val="none" w:sz="0" w:space="0" w:color="auto"/>
        <w:right w:val="none" w:sz="0" w:space="0" w:color="auto"/>
      </w:divBdr>
      <w:divsChild>
        <w:div w:id="1175992781">
          <w:marLeft w:val="0"/>
          <w:marRight w:val="0"/>
          <w:marTop w:val="0"/>
          <w:marBottom w:val="0"/>
          <w:divBdr>
            <w:top w:val="none" w:sz="0" w:space="0" w:color="auto"/>
            <w:left w:val="none" w:sz="0" w:space="0" w:color="auto"/>
            <w:bottom w:val="none" w:sz="0" w:space="0" w:color="auto"/>
            <w:right w:val="none" w:sz="0" w:space="0" w:color="auto"/>
          </w:divBdr>
          <w:divsChild>
            <w:div w:id="551306952">
              <w:marLeft w:val="0"/>
              <w:marRight w:val="0"/>
              <w:marTop w:val="300"/>
              <w:marBottom w:val="150"/>
              <w:divBdr>
                <w:top w:val="none" w:sz="0" w:space="0" w:color="auto"/>
                <w:left w:val="none" w:sz="0" w:space="0" w:color="auto"/>
                <w:bottom w:val="none" w:sz="0" w:space="0" w:color="auto"/>
                <w:right w:val="none" w:sz="0" w:space="0" w:color="auto"/>
              </w:divBdr>
              <w:divsChild>
                <w:div w:id="1908496299">
                  <w:marLeft w:val="0"/>
                  <w:marRight w:val="0"/>
                  <w:marTop w:val="0"/>
                  <w:marBottom w:val="0"/>
                  <w:divBdr>
                    <w:top w:val="none" w:sz="0" w:space="0" w:color="auto"/>
                    <w:left w:val="none" w:sz="0" w:space="0" w:color="auto"/>
                    <w:bottom w:val="none" w:sz="0" w:space="0" w:color="auto"/>
                    <w:right w:val="none" w:sz="0" w:space="0" w:color="auto"/>
                  </w:divBdr>
                  <w:divsChild>
                    <w:div w:id="2034846192">
                      <w:marLeft w:val="0"/>
                      <w:marRight w:val="0"/>
                      <w:marTop w:val="0"/>
                      <w:marBottom w:val="0"/>
                      <w:divBdr>
                        <w:top w:val="none" w:sz="0" w:space="0" w:color="auto"/>
                        <w:left w:val="none" w:sz="0" w:space="0" w:color="auto"/>
                        <w:bottom w:val="none" w:sz="0" w:space="0" w:color="auto"/>
                        <w:right w:val="none" w:sz="0" w:space="0" w:color="auto"/>
                      </w:divBdr>
                      <w:divsChild>
                        <w:div w:id="2062747947">
                          <w:marLeft w:val="0"/>
                          <w:marRight w:val="0"/>
                          <w:marTop w:val="0"/>
                          <w:marBottom w:val="0"/>
                          <w:divBdr>
                            <w:top w:val="none" w:sz="0" w:space="0" w:color="auto"/>
                            <w:left w:val="none" w:sz="0" w:space="0" w:color="auto"/>
                            <w:bottom w:val="none" w:sz="0" w:space="0" w:color="auto"/>
                            <w:right w:val="none" w:sz="0" w:space="0" w:color="auto"/>
                          </w:divBdr>
                        </w:div>
                        <w:div w:id="1394237206">
                          <w:marLeft w:val="105"/>
                          <w:marRight w:val="0"/>
                          <w:marTop w:val="0"/>
                          <w:marBottom w:val="0"/>
                          <w:divBdr>
                            <w:top w:val="none" w:sz="0" w:space="0" w:color="auto"/>
                            <w:left w:val="none" w:sz="0" w:space="0" w:color="auto"/>
                            <w:bottom w:val="none" w:sz="0" w:space="0" w:color="auto"/>
                            <w:right w:val="none" w:sz="0" w:space="0" w:color="auto"/>
                          </w:divBdr>
                        </w:div>
                      </w:divsChild>
                    </w:div>
                    <w:div w:id="536744644">
                      <w:marLeft w:val="0"/>
                      <w:marRight w:val="0"/>
                      <w:marTop w:val="0"/>
                      <w:marBottom w:val="0"/>
                      <w:divBdr>
                        <w:top w:val="none" w:sz="0" w:space="0" w:color="auto"/>
                        <w:left w:val="none" w:sz="0" w:space="0" w:color="auto"/>
                        <w:bottom w:val="none" w:sz="0" w:space="0" w:color="auto"/>
                        <w:right w:val="none" w:sz="0" w:space="0" w:color="auto"/>
                      </w:divBdr>
                    </w:div>
                  </w:divsChild>
                </w:div>
                <w:div w:id="205919548">
                  <w:marLeft w:val="0"/>
                  <w:marRight w:val="0"/>
                  <w:marTop w:val="0"/>
                  <w:marBottom w:val="0"/>
                  <w:divBdr>
                    <w:top w:val="none" w:sz="0" w:space="0" w:color="auto"/>
                    <w:left w:val="none" w:sz="0" w:space="0" w:color="auto"/>
                    <w:bottom w:val="none" w:sz="0" w:space="0" w:color="auto"/>
                    <w:right w:val="none" w:sz="0" w:space="0" w:color="auto"/>
                  </w:divBdr>
                  <w:divsChild>
                    <w:div w:id="15355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1208">
              <w:marLeft w:val="0"/>
              <w:marRight w:val="0"/>
              <w:marTop w:val="300"/>
              <w:marBottom w:val="150"/>
              <w:divBdr>
                <w:top w:val="single" w:sz="6" w:space="23" w:color="EEEEEE"/>
                <w:left w:val="none" w:sz="0" w:space="0" w:color="auto"/>
                <w:bottom w:val="none" w:sz="0" w:space="0" w:color="auto"/>
                <w:right w:val="none" w:sz="0" w:space="0" w:color="auto"/>
              </w:divBdr>
              <w:divsChild>
                <w:div w:id="2037072298">
                  <w:marLeft w:val="0"/>
                  <w:marRight w:val="0"/>
                  <w:marTop w:val="0"/>
                  <w:marBottom w:val="0"/>
                  <w:divBdr>
                    <w:top w:val="none" w:sz="0" w:space="0" w:color="auto"/>
                    <w:left w:val="none" w:sz="0" w:space="0" w:color="auto"/>
                    <w:bottom w:val="none" w:sz="0" w:space="0" w:color="auto"/>
                    <w:right w:val="none" w:sz="0" w:space="0" w:color="auto"/>
                  </w:divBdr>
                  <w:divsChild>
                    <w:div w:id="1595505213">
                      <w:marLeft w:val="0"/>
                      <w:marRight w:val="0"/>
                      <w:marTop w:val="0"/>
                      <w:marBottom w:val="0"/>
                      <w:divBdr>
                        <w:top w:val="none" w:sz="0" w:space="0" w:color="auto"/>
                        <w:left w:val="none" w:sz="0" w:space="0" w:color="auto"/>
                        <w:bottom w:val="none" w:sz="0" w:space="0" w:color="auto"/>
                        <w:right w:val="none" w:sz="0" w:space="0" w:color="auto"/>
                      </w:divBdr>
                      <w:divsChild>
                        <w:div w:id="2040083830">
                          <w:marLeft w:val="0"/>
                          <w:marRight w:val="0"/>
                          <w:marTop w:val="0"/>
                          <w:marBottom w:val="0"/>
                          <w:divBdr>
                            <w:top w:val="none" w:sz="0" w:space="0" w:color="auto"/>
                            <w:left w:val="none" w:sz="0" w:space="0" w:color="auto"/>
                            <w:bottom w:val="none" w:sz="0" w:space="0" w:color="auto"/>
                            <w:right w:val="none" w:sz="0" w:space="0" w:color="auto"/>
                          </w:divBdr>
                        </w:div>
                        <w:div w:id="113911389">
                          <w:marLeft w:val="105"/>
                          <w:marRight w:val="0"/>
                          <w:marTop w:val="0"/>
                          <w:marBottom w:val="0"/>
                          <w:divBdr>
                            <w:top w:val="none" w:sz="0" w:space="0" w:color="auto"/>
                            <w:left w:val="none" w:sz="0" w:space="0" w:color="auto"/>
                            <w:bottom w:val="none" w:sz="0" w:space="0" w:color="auto"/>
                            <w:right w:val="none" w:sz="0" w:space="0" w:color="auto"/>
                          </w:divBdr>
                        </w:div>
                      </w:divsChild>
                    </w:div>
                    <w:div w:id="6316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3966</Words>
  <Characters>2261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ponamorenko</dc:creator>
  <cp:keywords/>
  <dc:description/>
  <cp:lastModifiedBy>ponamorenko</cp:lastModifiedBy>
  <cp:revision>1</cp:revision>
  <dcterms:created xsi:type="dcterms:W3CDTF">2021-02-15T08:25:00Z</dcterms:created>
  <dcterms:modified xsi:type="dcterms:W3CDTF">2021-02-15T08:29:00Z</dcterms:modified>
</cp:coreProperties>
</file>